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中古家財道具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AWL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パスポートコピー（写真のページ）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マレーシアでの雇用許可書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税関規定：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以下に当てはまる場合免税されます：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送り人が中古家財道具の所有者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所有期間は最低６ヶ月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送り人が海外からマレーシアに居住目的で来る場合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中古所持品（外交官、大使館員）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N°１（コピー８部）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授権書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税関規定：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免税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新品家具、家財道具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価格付きのインボイス（原本）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N°１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授権書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税関規定：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関税がかかります。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電化製品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価格付きのインボイス（原本）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N°１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授権書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OBL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税関規定：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関税がかかります。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  <w:b/>
          <w:u w:val="single"/>
        </w:rPr>
        <w:t xml:space="preserve">電気通信機器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テレコムのマレーシアオフィスからの輸入許可書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